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Verdana" w:cs="Verdana" w:eastAsia="Verdana" w:hAnsi="Verdana"/>
          <w:b w:val="1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sz w:val="27"/>
          <w:szCs w:val="27"/>
          <w:rtl w:val="0"/>
        </w:rPr>
        <w:t xml:space="preserve">Bio Pierluigi Vaccaneo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Verdana" w:cs="Verdana" w:eastAsia="Verdana" w:hAnsi="Verdana"/>
          <w:sz w:val="17"/>
          <w:szCs w:val="17"/>
        </w:rPr>
      </w:pPr>
      <w:r w:rsidDel="00000000" w:rsidR="00000000" w:rsidRPr="00000000">
        <w:rPr>
          <w:rFonts w:ascii="Verdana" w:cs="Verdana" w:eastAsia="Verdana" w:hAnsi="Verdana"/>
          <w:sz w:val="17"/>
          <w:szCs w:val="17"/>
          <w:rtl w:val="0"/>
        </w:rPr>
        <w:t xml:space="preserve">Mi occupo di nuovi media e divulgazione culturale. Sono direttore della Fondazione Cesare Pavese, CEO di Betwyll, la startup nata con l’obiettivo di innovare la didattica attraverso il social reading. Betwyll è indicata dalla UE tra le 15 buone pratiche di promozione della lettura in ambiente digitale ed è inserita dal MIUR tra gli strumenti di educazione civica digitale di "Generazioni connesse". Sono Ambassador di HundrEd l'Associazione mondiale di ambasciatori dell'innovazione in ambito educativo e membro della Bosch Alumni Foundation che raccoglie Cultural manager europei nel campo della social innovation.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