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Ilaria Porceddu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All'età di 6 anni inizia a studiare pianoforte e canto.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Nel 2004, all’età di 16 anni, vince il "Festival di Castrocaro" , così dopo il diploma si trasferisce a Roma per iniziare la sua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collaborazione artistica con Peppe Vessicchio e Marco Rinalduzzi con cui realizzerà il suo primo album "Suono Naturale"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pubblicato dalla Sony Music dopo la sua partecipazione a X Factor.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Si laurea in "Arti e Scienze dello spettacolo" con tesi in Etnomusicologia sulla storia e la tradizione del Canto Sardo 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Chitarra in Sardegna, contemporaneamente entra nel cast de "Il Pianeta Proibito di Luca Tommassini" 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successivamente collabora con Ron e Gino Paoli come guest dei loro concerti.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Il 14 febbraio 2013, in concomitanza con la sua partecipazione al Festival di Sanremo, in cui si classifica al 2° posto nella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categoria Giovani, pubblica il nuovo album “In Equilibrio” (D’AltroCanto/ EMI Music).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Nel 2016 firma la colonna sonora di “Per Anna”, corto pluripremiato in festival nazionali e internazionali (compreso nella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cinquina dei David di Donatello 2015), che anticipa la prima traccia (“Sas Arvures”) del suo nuovo album.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Il 7 Aprile 2017 pubblica "Di questo parlo io" (Linea Due/Pirames International).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Il 12 Giugno 2020 pubblica “Sa Coia”, omaggio al suo ritorno in Sardegna.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Attualmente Ilaria ha dato vita a Indirizzo D’Autore, prima scuola di cantautorato in Sardegna, nel cuore di Castello 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Cagliari, ed è al lavoro sul suo quarto disco.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